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3B" w:rsidRDefault="00716E3B" w:rsidP="00250FDC">
      <w:pPr>
        <w:spacing w:after="0" w:line="240" w:lineRule="auto"/>
        <w:rPr>
          <w:b/>
        </w:rPr>
      </w:pPr>
    </w:p>
    <w:p w:rsidR="00716E3B" w:rsidRPr="00C93267" w:rsidRDefault="00716E3B" w:rsidP="00250FDC">
      <w:pPr>
        <w:spacing w:after="0" w:line="240" w:lineRule="auto"/>
        <w:jc w:val="center"/>
        <w:rPr>
          <w:b/>
          <w:sz w:val="28"/>
          <w:szCs w:val="28"/>
        </w:rPr>
      </w:pPr>
      <w:r w:rsidRPr="00C93267">
        <w:rPr>
          <w:b/>
          <w:sz w:val="28"/>
          <w:szCs w:val="28"/>
        </w:rPr>
        <w:t>Central Connecticut Health District</w:t>
      </w:r>
    </w:p>
    <w:p w:rsidR="00716E3B" w:rsidRPr="00C93267" w:rsidRDefault="00716E3B" w:rsidP="00407953">
      <w:pPr>
        <w:spacing w:after="0" w:line="240" w:lineRule="auto"/>
        <w:jc w:val="center"/>
        <w:rPr>
          <w:b/>
          <w:sz w:val="28"/>
          <w:szCs w:val="28"/>
        </w:rPr>
      </w:pPr>
      <w:r w:rsidRPr="00C93267">
        <w:rPr>
          <w:b/>
          <w:sz w:val="28"/>
          <w:szCs w:val="28"/>
        </w:rPr>
        <w:t xml:space="preserve">Staff Training Needs Assessment Report </w:t>
      </w:r>
      <w:r>
        <w:rPr>
          <w:b/>
          <w:sz w:val="28"/>
          <w:szCs w:val="28"/>
        </w:rPr>
        <w:t xml:space="preserve">March 2014 </w:t>
      </w:r>
      <w:bookmarkStart w:id="0" w:name="_GoBack"/>
      <w:bookmarkEnd w:id="0"/>
    </w:p>
    <w:p w:rsidR="00716E3B" w:rsidRDefault="00716E3B" w:rsidP="00B23A2B">
      <w:pPr>
        <w:spacing w:after="0" w:line="240" w:lineRule="auto"/>
      </w:pPr>
    </w:p>
    <w:p w:rsidR="00716E3B" w:rsidRPr="00FF052F" w:rsidRDefault="00716E3B" w:rsidP="00B23A2B">
      <w:pPr>
        <w:spacing w:after="0" w:line="240" w:lineRule="auto"/>
        <w:rPr>
          <w:b/>
        </w:rPr>
      </w:pPr>
      <w:r w:rsidRPr="00FF052F">
        <w:rPr>
          <w:b/>
        </w:rPr>
        <w:t>I. Individual Competency Assessment</w:t>
      </w:r>
    </w:p>
    <w:p w:rsidR="00716E3B" w:rsidRDefault="00716E3B" w:rsidP="00B23A2B">
      <w:pPr>
        <w:spacing w:after="0" w:line="240" w:lineRule="auto"/>
      </w:pPr>
    </w:p>
    <w:p w:rsidR="00716E3B" w:rsidRPr="00407953" w:rsidRDefault="00716E3B" w:rsidP="00B23A2B">
      <w:pPr>
        <w:spacing w:after="0" w:line="240" w:lineRule="auto"/>
        <w:rPr>
          <w:i/>
        </w:rPr>
      </w:pPr>
      <w:r w:rsidRPr="00407953">
        <w:rPr>
          <w:i/>
        </w:rPr>
        <w:t>Background</w:t>
      </w:r>
    </w:p>
    <w:p w:rsidR="00716E3B" w:rsidRDefault="00716E3B" w:rsidP="00407953">
      <w:pPr>
        <w:spacing w:after="0" w:line="240" w:lineRule="auto"/>
      </w:pPr>
      <w:r>
        <w:t xml:space="preserve">PHAB requires health departments to adopt a set of professional competencies for their staff and base their Workforce Development Plan on an assessment of these competencies. The Central Connecticut Health District (Health District) selected “Core Competencies for Public Health Professionals” from the Council on Linkages Between Academia and Public Health Practice for use by the agency. To conduct the individual competency assessment of professional staff members, the Health District contracted with the CT-RI Public Health Training Center (CT-RI PHTC) at the Yale School of Public Health for technical assistance.  CT-RI PHTC identified the survey tool, a series of PDF documents for each competency tier, which can be found at the </w:t>
      </w:r>
      <w:hyperlink r:id="rId7" w:history="1">
        <w:r w:rsidRPr="00095DFA">
          <w:rPr>
            <w:rStyle w:val="Hyperlink"/>
          </w:rPr>
          <w:t>Public Health Foundation’s website</w:t>
        </w:r>
      </w:hyperlink>
      <w:r>
        <w:t>. The survey measures a respondents’ self-perceived proficiency for each competency indicator within the eight general public health skill areas, or domains (see list below).</w:t>
      </w:r>
    </w:p>
    <w:p w:rsidR="00716E3B" w:rsidRDefault="00716E3B" w:rsidP="00575484">
      <w:pPr>
        <w:spacing w:after="0" w:line="240" w:lineRule="auto"/>
      </w:pPr>
    </w:p>
    <w:p w:rsidR="00716E3B" w:rsidRDefault="00716E3B" w:rsidP="00CD05C6">
      <w:pPr>
        <w:spacing w:after="0" w:line="240" w:lineRule="auto"/>
        <w:ind w:firstLine="360"/>
      </w:pPr>
      <w:r>
        <w:t xml:space="preserve">Core Competencies for Public Health Professionals Domains </w:t>
      </w:r>
    </w:p>
    <w:p w:rsidR="00716E3B" w:rsidRDefault="00716E3B" w:rsidP="00CD05C6">
      <w:pPr>
        <w:pStyle w:val="ListParagraph"/>
        <w:numPr>
          <w:ilvl w:val="0"/>
          <w:numId w:val="6"/>
        </w:numPr>
        <w:spacing w:after="0" w:line="240" w:lineRule="auto"/>
        <w:ind w:left="1080"/>
      </w:pPr>
      <w:r>
        <w:t>Analytical/Assessment</w:t>
      </w:r>
    </w:p>
    <w:p w:rsidR="00716E3B" w:rsidRDefault="00716E3B" w:rsidP="00CD05C6">
      <w:pPr>
        <w:pStyle w:val="ListParagraph"/>
        <w:numPr>
          <w:ilvl w:val="0"/>
          <w:numId w:val="6"/>
        </w:numPr>
        <w:spacing w:after="0" w:line="240" w:lineRule="auto"/>
        <w:ind w:left="1080"/>
      </w:pPr>
      <w:r>
        <w:t>Policy Development/Program Planning</w:t>
      </w:r>
    </w:p>
    <w:p w:rsidR="00716E3B" w:rsidRDefault="00716E3B" w:rsidP="00CD05C6">
      <w:pPr>
        <w:pStyle w:val="ListParagraph"/>
        <w:numPr>
          <w:ilvl w:val="0"/>
          <w:numId w:val="6"/>
        </w:numPr>
        <w:spacing w:after="0" w:line="240" w:lineRule="auto"/>
        <w:ind w:left="1080"/>
      </w:pPr>
      <w:r>
        <w:t>Communication</w:t>
      </w:r>
    </w:p>
    <w:p w:rsidR="00716E3B" w:rsidRDefault="00716E3B" w:rsidP="00CD05C6">
      <w:pPr>
        <w:pStyle w:val="ListParagraph"/>
        <w:numPr>
          <w:ilvl w:val="0"/>
          <w:numId w:val="6"/>
        </w:numPr>
        <w:spacing w:after="0" w:line="240" w:lineRule="auto"/>
        <w:ind w:left="1080"/>
      </w:pPr>
      <w:r>
        <w:t>Cultural Competency</w:t>
      </w:r>
    </w:p>
    <w:p w:rsidR="00716E3B" w:rsidRDefault="00716E3B" w:rsidP="00CD05C6">
      <w:pPr>
        <w:pStyle w:val="ListParagraph"/>
        <w:numPr>
          <w:ilvl w:val="0"/>
          <w:numId w:val="6"/>
        </w:numPr>
        <w:spacing w:after="0" w:line="240" w:lineRule="auto"/>
        <w:ind w:left="1080"/>
      </w:pPr>
      <w:r>
        <w:t>Community Dimensions of Practice</w:t>
      </w:r>
    </w:p>
    <w:p w:rsidR="00716E3B" w:rsidRDefault="00716E3B" w:rsidP="00CD05C6">
      <w:pPr>
        <w:pStyle w:val="ListParagraph"/>
        <w:numPr>
          <w:ilvl w:val="0"/>
          <w:numId w:val="6"/>
        </w:numPr>
        <w:spacing w:after="0" w:line="240" w:lineRule="auto"/>
        <w:ind w:left="1080"/>
      </w:pPr>
      <w:r>
        <w:t>Public Health Science</w:t>
      </w:r>
    </w:p>
    <w:p w:rsidR="00716E3B" w:rsidRDefault="00716E3B" w:rsidP="00CD05C6">
      <w:pPr>
        <w:pStyle w:val="ListParagraph"/>
        <w:numPr>
          <w:ilvl w:val="0"/>
          <w:numId w:val="6"/>
        </w:numPr>
        <w:spacing w:after="0" w:line="240" w:lineRule="auto"/>
        <w:ind w:left="1080"/>
      </w:pPr>
      <w:r>
        <w:t>Financial Planning and Management</w:t>
      </w:r>
    </w:p>
    <w:p w:rsidR="00716E3B" w:rsidRDefault="00716E3B" w:rsidP="00CD05C6">
      <w:pPr>
        <w:pStyle w:val="ListParagraph"/>
        <w:numPr>
          <w:ilvl w:val="0"/>
          <w:numId w:val="6"/>
        </w:numPr>
        <w:spacing w:after="0" w:line="240" w:lineRule="auto"/>
        <w:ind w:left="1080"/>
      </w:pPr>
      <w:r>
        <w:t xml:space="preserve">Leadership and Systems Thinking </w:t>
      </w:r>
    </w:p>
    <w:p w:rsidR="00716E3B" w:rsidRDefault="00716E3B" w:rsidP="00B23A2B">
      <w:pPr>
        <w:spacing w:after="0" w:line="240" w:lineRule="auto"/>
      </w:pPr>
    </w:p>
    <w:p w:rsidR="00716E3B" w:rsidRPr="00407953" w:rsidRDefault="00716E3B" w:rsidP="00B23A2B">
      <w:pPr>
        <w:spacing w:after="0" w:line="240" w:lineRule="auto"/>
        <w:rPr>
          <w:i/>
        </w:rPr>
      </w:pPr>
      <w:r w:rsidRPr="00407953">
        <w:rPr>
          <w:i/>
        </w:rPr>
        <w:t>Method</w:t>
      </w:r>
    </w:p>
    <w:p w:rsidR="00716E3B" w:rsidRDefault="00716E3B" w:rsidP="001071FF">
      <w:pPr>
        <w:spacing w:after="0" w:line="240" w:lineRule="auto"/>
      </w:pPr>
      <w:r>
        <w:t>On February 24, 2014 the Accreditation Coordinator e-mailed Health District professional staff with instructions on participating in the assessment. A PDF file containing the assessment for each tier was attached. Staff was instructed to download survey file for the tier appropriate to the role/experience at the Health District. Each staff member was asked to complete the survey and print out the results. To maintain anonymity, staff were instructed not to put their name on the print out. Hard copies of each completed survey were provided to CT-RI PHTC at the staff training focus group session on February 27, 2014 (see below).</w:t>
      </w:r>
    </w:p>
    <w:p w:rsidR="00716E3B" w:rsidRDefault="00716E3B" w:rsidP="00B23A2B">
      <w:pPr>
        <w:spacing w:after="0" w:line="240" w:lineRule="auto"/>
      </w:pPr>
    </w:p>
    <w:p w:rsidR="00716E3B" w:rsidRDefault="00716E3B" w:rsidP="00B23A2B">
      <w:pPr>
        <w:spacing w:after="0" w:line="240" w:lineRule="auto"/>
      </w:pPr>
      <w:r>
        <w:t xml:space="preserve">To complete the survey, respondents were asked read each competency indicator within the eight domains and think about what level he/she was currently able to perform the skill. Then they were asked to rate their level of proficiency on each indicator by selecting the number on the continuum from “None” (1) to “Proficient” (4) (see below) that best describes their self-reported level of expertise for that indicator. They were instructed to note the competency indicators listed in each key dimension should be interpreted as broadly as possible to apply to their position. </w:t>
      </w:r>
    </w:p>
    <w:p w:rsidR="00716E3B" w:rsidRDefault="00716E3B" w:rsidP="00B23A2B">
      <w:pPr>
        <w:spacing w:after="0" w:line="240" w:lineRule="auto"/>
      </w:pPr>
    </w:p>
    <w:p w:rsidR="00716E3B" w:rsidRDefault="00716E3B" w:rsidP="00AB23B8">
      <w:pPr>
        <w:spacing w:after="0" w:line="240" w:lineRule="auto"/>
      </w:pPr>
    </w:p>
    <w:p w:rsidR="00716E3B" w:rsidRDefault="00716E3B" w:rsidP="00CD05C6">
      <w:pPr>
        <w:spacing w:after="0" w:line="240" w:lineRule="auto"/>
        <w:ind w:left="432"/>
      </w:pPr>
    </w:p>
    <w:p w:rsidR="00716E3B" w:rsidRDefault="00716E3B" w:rsidP="00CD05C6">
      <w:pPr>
        <w:spacing w:after="0" w:line="240" w:lineRule="auto"/>
        <w:ind w:left="432"/>
      </w:pPr>
    </w:p>
    <w:p w:rsidR="00716E3B" w:rsidRDefault="00716E3B" w:rsidP="00CD05C6">
      <w:pPr>
        <w:spacing w:after="0" w:line="240" w:lineRule="auto"/>
        <w:ind w:left="432"/>
      </w:pPr>
      <w:r>
        <w:t xml:space="preserve">Competency Assessment Rating Scale </w:t>
      </w:r>
    </w:p>
    <w:p w:rsidR="00716E3B" w:rsidRDefault="00716E3B" w:rsidP="00CD05C6">
      <w:pPr>
        <w:spacing w:after="0" w:line="240" w:lineRule="auto"/>
        <w:ind w:left="720"/>
      </w:pPr>
      <w:r>
        <w:t>1= None: I am unaware, or have very little knowledge of the item</w:t>
      </w:r>
    </w:p>
    <w:p w:rsidR="00716E3B" w:rsidRDefault="00716E3B" w:rsidP="00CD05C6">
      <w:pPr>
        <w:spacing w:after="0" w:line="240" w:lineRule="auto"/>
        <w:ind w:left="720"/>
      </w:pPr>
      <w:r>
        <w:t>2= Aware: I have heard of it; limited knowledge and/or ability to apply the skill</w:t>
      </w:r>
    </w:p>
    <w:p w:rsidR="00716E3B" w:rsidRDefault="00716E3B" w:rsidP="00CD05C6">
      <w:pPr>
        <w:spacing w:after="0" w:line="240" w:lineRule="auto"/>
        <w:ind w:left="720"/>
      </w:pPr>
      <w:r>
        <w:t>3= Knowledgeable: I am comfortable with knowledge or ability to apply the skill</w:t>
      </w:r>
    </w:p>
    <w:p w:rsidR="00716E3B" w:rsidRDefault="00716E3B" w:rsidP="00CD05C6">
      <w:pPr>
        <w:spacing w:after="0" w:line="240" w:lineRule="auto"/>
        <w:ind w:left="720"/>
      </w:pPr>
      <w:r>
        <w:t>4= Proficient:  I am very comfortable, an expert; could teach this to others</w:t>
      </w:r>
    </w:p>
    <w:p w:rsidR="00716E3B" w:rsidRDefault="00716E3B" w:rsidP="00AB23B8">
      <w:pPr>
        <w:spacing w:after="0" w:line="240" w:lineRule="auto"/>
      </w:pPr>
    </w:p>
    <w:p w:rsidR="00716E3B" w:rsidRDefault="00716E3B" w:rsidP="00AB23B8">
      <w:pPr>
        <w:spacing w:after="0" w:line="240" w:lineRule="auto"/>
      </w:pPr>
      <w:r>
        <w:t>Results</w:t>
      </w:r>
    </w:p>
    <w:p w:rsidR="00716E3B" w:rsidRDefault="00716E3B" w:rsidP="00CA0AF8">
      <w:pPr>
        <w:spacing w:after="0" w:line="240" w:lineRule="auto"/>
      </w:pPr>
      <w:r>
        <w:t>All eight professional staff responded to the survey (100%). To determine the Agency Score, the average score of proficiency on the domain level was recorded for each respondent and then averaged. The table below contains the Agency Score for each domain and also the high and low range of scores for that domain.</w:t>
      </w:r>
    </w:p>
    <w:p w:rsidR="00716E3B" w:rsidRDefault="00716E3B" w:rsidP="00CA0AF8">
      <w:pPr>
        <w:spacing w:after="0" w:line="240" w:lineRule="auto"/>
      </w:pPr>
    </w:p>
    <w:p w:rsidR="00716E3B" w:rsidRPr="0084611D" w:rsidRDefault="00716E3B" w:rsidP="00CA0AF8">
      <w:pPr>
        <w:spacing w:after="0" w:line="240" w:lineRule="auto"/>
      </w:pPr>
      <w:r w:rsidRPr="0084611D">
        <w:t xml:space="preserve">The domain with the lowest score was </w:t>
      </w:r>
      <w:r w:rsidRPr="0084611D">
        <w:rPr>
          <w:i/>
        </w:rPr>
        <w:t>Financial Planning and Management</w:t>
      </w:r>
      <w:r w:rsidRPr="0084611D">
        <w:t xml:space="preserve"> (2.3) followed by </w:t>
      </w:r>
      <w:r w:rsidRPr="0084611D">
        <w:rPr>
          <w:i/>
        </w:rPr>
        <w:t>Policy Development/Program Planning</w:t>
      </w:r>
      <w:r w:rsidRPr="0084611D">
        <w:t xml:space="preserve"> and </w:t>
      </w:r>
      <w:r w:rsidRPr="0084611D">
        <w:rPr>
          <w:i/>
        </w:rPr>
        <w:t>Cultural Competency</w:t>
      </w:r>
      <w:r>
        <w:t xml:space="preserve"> (both 2.5)</w:t>
      </w:r>
      <w:r w:rsidRPr="0084611D">
        <w:t xml:space="preserve">  The remaining five domains all had an average score of 2.7. </w:t>
      </w:r>
    </w:p>
    <w:p w:rsidR="00716E3B" w:rsidRDefault="00716E3B" w:rsidP="00AB23B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1432"/>
        <w:gridCol w:w="1760"/>
        <w:gridCol w:w="1800"/>
      </w:tblGrid>
      <w:tr w:rsidR="00716E3B" w:rsidRPr="00A40394" w:rsidTr="00A40394">
        <w:tc>
          <w:tcPr>
            <w:tcW w:w="0" w:type="auto"/>
            <w:shd w:val="clear" w:color="auto" w:fill="D9D9D9"/>
          </w:tcPr>
          <w:p w:rsidR="00716E3B" w:rsidRPr="00A40394" w:rsidRDefault="00716E3B" w:rsidP="00A40394">
            <w:pPr>
              <w:spacing w:after="0" w:line="240" w:lineRule="auto"/>
              <w:rPr>
                <w:b/>
              </w:rPr>
            </w:pPr>
            <w:r w:rsidRPr="00A40394">
              <w:rPr>
                <w:b/>
              </w:rPr>
              <w:t xml:space="preserve">Domain/Skill Area </w:t>
            </w:r>
          </w:p>
        </w:tc>
        <w:tc>
          <w:tcPr>
            <w:tcW w:w="0" w:type="auto"/>
            <w:shd w:val="clear" w:color="auto" w:fill="D9D9D9"/>
          </w:tcPr>
          <w:p w:rsidR="00716E3B" w:rsidRPr="00A40394" w:rsidRDefault="00716E3B" w:rsidP="00A40394">
            <w:pPr>
              <w:spacing w:after="0" w:line="240" w:lineRule="auto"/>
              <w:rPr>
                <w:b/>
              </w:rPr>
            </w:pPr>
            <w:r w:rsidRPr="00A40394">
              <w:rPr>
                <w:b/>
              </w:rPr>
              <w:t>Agency Score</w:t>
            </w:r>
          </w:p>
        </w:tc>
        <w:tc>
          <w:tcPr>
            <w:tcW w:w="0" w:type="auto"/>
            <w:shd w:val="clear" w:color="auto" w:fill="D9D9D9"/>
          </w:tcPr>
          <w:p w:rsidR="00716E3B" w:rsidRPr="00A40394" w:rsidRDefault="00716E3B" w:rsidP="00A40394">
            <w:pPr>
              <w:spacing w:after="0" w:line="240" w:lineRule="auto"/>
              <w:rPr>
                <w:b/>
              </w:rPr>
            </w:pPr>
            <w:r w:rsidRPr="00A40394">
              <w:rPr>
                <w:b/>
              </w:rPr>
              <w:t xml:space="preserve">Range Low Score </w:t>
            </w:r>
          </w:p>
        </w:tc>
        <w:tc>
          <w:tcPr>
            <w:tcW w:w="0" w:type="auto"/>
            <w:shd w:val="clear" w:color="auto" w:fill="D9D9D9"/>
          </w:tcPr>
          <w:p w:rsidR="00716E3B" w:rsidRPr="00A40394" w:rsidRDefault="00716E3B" w:rsidP="00A40394">
            <w:pPr>
              <w:spacing w:after="0" w:line="240" w:lineRule="auto"/>
              <w:rPr>
                <w:b/>
              </w:rPr>
            </w:pPr>
            <w:r w:rsidRPr="00A40394">
              <w:rPr>
                <w:b/>
              </w:rPr>
              <w:t>Range High Score</w:t>
            </w:r>
          </w:p>
        </w:tc>
      </w:tr>
      <w:tr w:rsidR="00716E3B" w:rsidRPr="00A40394" w:rsidTr="00A40394">
        <w:tc>
          <w:tcPr>
            <w:tcW w:w="0" w:type="auto"/>
          </w:tcPr>
          <w:p w:rsidR="00716E3B" w:rsidRPr="00A40394" w:rsidRDefault="00716E3B" w:rsidP="00A40394">
            <w:pPr>
              <w:spacing w:after="0" w:line="240" w:lineRule="auto"/>
            </w:pPr>
            <w:r w:rsidRPr="00A40394">
              <w:t>Analytical/Assessment</w:t>
            </w:r>
          </w:p>
        </w:tc>
        <w:tc>
          <w:tcPr>
            <w:tcW w:w="0" w:type="auto"/>
          </w:tcPr>
          <w:p w:rsidR="00716E3B" w:rsidRPr="00A40394" w:rsidRDefault="00716E3B" w:rsidP="00A40394">
            <w:pPr>
              <w:spacing w:after="0" w:line="240" w:lineRule="auto"/>
            </w:pPr>
            <w:r w:rsidRPr="00A40394">
              <w:t>2.7</w:t>
            </w:r>
          </w:p>
        </w:tc>
        <w:tc>
          <w:tcPr>
            <w:tcW w:w="0" w:type="auto"/>
          </w:tcPr>
          <w:p w:rsidR="00716E3B" w:rsidRPr="00A40394" w:rsidRDefault="00716E3B" w:rsidP="00A40394">
            <w:pPr>
              <w:spacing w:after="0" w:line="240" w:lineRule="auto"/>
            </w:pPr>
            <w:r w:rsidRPr="00A40394">
              <w:t>1.6</w:t>
            </w:r>
          </w:p>
        </w:tc>
        <w:tc>
          <w:tcPr>
            <w:tcW w:w="0" w:type="auto"/>
          </w:tcPr>
          <w:p w:rsidR="00716E3B" w:rsidRPr="00A40394" w:rsidRDefault="00716E3B" w:rsidP="00A40394">
            <w:pPr>
              <w:spacing w:after="0" w:line="240" w:lineRule="auto"/>
            </w:pPr>
            <w:r w:rsidRPr="00A40394">
              <w:t>3.3</w:t>
            </w:r>
          </w:p>
        </w:tc>
      </w:tr>
      <w:tr w:rsidR="00716E3B" w:rsidRPr="00A40394" w:rsidTr="00A40394">
        <w:tc>
          <w:tcPr>
            <w:tcW w:w="0" w:type="auto"/>
            <w:shd w:val="clear" w:color="auto" w:fill="F2F2F2"/>
          </w:tcPr>
          <w:p w:rsidR="00716E3B" w:rsidRPr="00A40394" w:rsidRDefault="00716E3B" w:rsidP="00A40394">
            <w:pPr>
              <w:spacing w:after="0" w:line="240" w:lineRule="auto"/>
            </w:pPr>
            <w:r w:rsidRPr="00A40394">
              <w:rPr>
                <w:color w:val="FF0000"/>
              </w:rPr>
              <w:t>Policy Development/Program Planning</w:t>
            </w:r>
          </w:p>
        </w:tc>
        <w:tc>
          <w:tcPr>
            <w:tcW w:w="0" w:type="auto"/>
            <w:shd w:val="clear" w:color="auto" w:fill="F2F2F2"/>
          </w:tcPr>
          <w:p w:rsidR="00716E3B" w:rsidRPr="00A40394" w:rsidRDefault="00716E3B" w:rsidP="00A40394">
            <w:pPr>
              <w:spacing w:after="0" w:line="240" w:lineRule="auto"/>
            </w:pPr>
            <w:r w:rsidRPr="00A40394">
              <w:rPr>
                <w:color w:val="FF0000"/>
              </w:rPr>
              <w:t>2.5</w:t>
            </w:r>
          </w:p>
        </w:tc>
        <w:tc>
          <w:tcPr>
            <w:tcW w:w="0" w:type="auto"/>
            <w:shd w:val="clear" w:color="auto" w:fill="F2F2F2"/>
          </w:tcPr>
          <w:p w:rsidR="00716E3B" w:rsidRPr="00A40394" w:rsidRDefault="00716E3B" w:rsidP="00A40394">
            <w:pPr>
              <w:spacing w:after="0" w:line="240" w:lineRule="auto"/>
            </w:pPr>
            <w:r w:rsidRPr="00A40394">
              <w:t>1.4</w:t>
            </w:r>
          </w:p>
        </w:tc>
        <w:tc>
          <w:tcPr>
            <w:tcW w:w="0" w:type="auto"/>
            <w:shd w:val="clear" w:color="auto" w:fill="F2F2F2"/>
          </w:tcPr>
          <w:p w:rsidR="00716E3B" w:rsidRPr="00A40394" w:rsidRDefault="00716E3B" w:rsidP="00A40394">
            <w:pPr>
              <w:spacing w:after="0" w:line="240" w:lineRule="auto"/>
            </w:pPr>
            <w:r w:rsidRPr="00A40394">
              <w:t>3.2</w:t>
            </w:r>
          </w:p>
        </w:tc>
      </w:tr>
      <w:tr w:rsidR="00716E3B" w:rsidRPr="00A40394" w:rsidTr="00A40394">
        <w:tc>
          <w:tcPr>
            <w:tcW w:w="0" w:type="auto"/>
          </w:tcPr>
          <w:p w:rsidR="00716E3B" w:rsidRPr="00A40394" w:rsidRDefault="00716E3B" w:rsidP="00A40394">
            <w:pPr>
              <w:spacing w:after="0" w:line="240" w:lineRule="auto"/>
            </w:pPr>
            <w:r w:rsidRPr="00A40394">
              <w:t>Communication</w:t>
            </w:r>
          </w:p>
        </w:tc>
        <w:tc>
          <w:tcPr>
            <w:tcW w:w="0" w:type="auto"/>
          </w:tcPr>
          <w:p w:rsidR="00716E3B" w:rsidRPr="00A40394" w:rsidRDefault="00716E3B" w:rsidP="00A40394">
            <w:pPr>
              <w:spacing w:after="0" w:line="240" w:lineRule="auto"/>
            </w:pPr>
            <w:r w:rsidRPr="00A40394">
              <w:t>2.7</w:t>
            </w:r>
          </w:p>
        </w:tc>
        <w:tc>
          <w:tcPr>
            <w:tcW w:w="0" w:type="auto"/>
          </w:tcPr>
          <w:p w:rsidR="00716E3B" w:rsidRPr="00A40394" w:rsidRDefault="00716E3B" w:rsidP="00A40394">
            <w:pPr>
              <w:spacing w:after="0" w:line="240" w:lineRule="auto"/>
            </w:pPr>
            <w:r w:rsidRPr="00A40394">
              <w:t>1.5</w:t>
            </w:r>
          </w:p>
        </w:tc>
        <w:tc>
          <w:tcPr>
            <w:tcW w:w="0" w:type="auto"/>
          </w:tcPr>
          <w:p w:rsidR="00716E3B" w:rsidRPr="00A40394" w:rsidRDefault="00716E3B" w:rsidP="00A40394">
            <w:pPr>
              <w:spacing w:after="0" w:line="240" w:lineRule="auto"/>
            </w:pPr>
            <w:r w:rsidRPr="00A40394">
              <w:t>3.5</w:t>
            </w:r>
          </w:p>
        </w:tc>
      </w:tr>
      <w:tr w:rsidR="00716E3B" w:rsidRPr="00A40394" w:rsidTr="00A40394">
        <w:tc>
          <w:tcPr>
            <w:tcW w:w="0" w:type="auto"/>
            <w:shd w:val="clear" w:color="auto" w:fill="F2F2F2"/>
          </w:tcPr>
          <w:p w:rsidR="00716E3B" w:rsidRPr="00A40394" w:rsidRDefault="00716E3B" w:rsidP="00A40394">
            <w:pPr>
              <w:spacing w:after="0" w:line="240" w:lineRule="auto"/>
            </w:pPr>
            <w:r w:rsidRPr="00A40394">
              <w:rPr>
                <w:color w:val="FF0000"/>
              </w:rPr>
              <w:t>Cultural Competency</w:t>
            </w:r>
          </w:p>
        </w:tc>
        <w:tc>
          <w:tcPr>
            <w:tcW w:w="0" w:type="auto"/>
            <w:shd w:val="clear" w:color="auto" w:fill="F2F2F2"/>
          </w:tcPr>
          <w:p w:rsidR="00716E3B" w:rsidRPr="00A40394" w:rsidRDefault="00716E3B" w:rsidP="00A40394">
            <w:pPr>
              <w:spacing w:after="0" w:line="240" w:lineRule="auto"/>
            </w:pPr>
            <w:r w:rsidRPr="00A40394">
              <w:rPr>
                <w:color w:val="FF0000"/>
              </w:rPr>
              <w:t>2.5</w:t>
            </w:r>
          </w:p>
        </w:tc>
        <w:tc>
          <w:tcPr>
            <w:tcW w:w="0" w:type="auto"/>
            <w:shd w:val="clear" w:color="auto" w:fill="F2F2F2"/>
          </w:tcPr>
          <w:p w:rsidR="00716E3B" w:rsidRPr="00A40394" w:rsidRDefault="00716E3B" w:rsidP="00A40394">
            <w:pPr>
              <w:spacing w:after="0" w:line="240" w:lineRule="auto"/>
            </w:pPr>
            <w:r w:rsidRPr="00A40394">
              <w:t>1.2</w:t>
            </w:r>
          </w:p>
        </w:tc>
        <w:tc>
          <w:tcPr>
            <w:tcW w:w="0" w:type="auto"/>
            <w:shd w:val="clear" w:color="auto" w:fill="F2F2F2"/>
          </w:tcPr>
          <w:p w:rsidR="00716E3B" w:rsidRPr="00A40394" w:rsidRDefault="00716E3B" w:rsidP="00A40394">
            <w:pPr>
              <w:spacing w:after="0" w:line="240" w:lineRule="auto"/>
            </w:pPr>
            <w:r w:rsidRPr="00A40394">
              <w:t>4.0</w:t>
            </w:r>
          </w:p>
        </w:tc>
      </w:tr>
      <w:tr w:rsidR="00716E3B" w:rsidRPr="00A40394" w:rsidTr="00A40394">
        <w:tc>
          <w:tcPr>
            <w:tcW w:w="0" w:type="auto"/>
          </w:tcPr>
          <w:p w:rsidR="00716E3B" w:rsidRPr="00A40394" w:rsidRDefault="00716E3B" w:rsidP="00A40394">
            <w:pPr>
              <w:spacing w:after="0" w:line="240" w:lineRule="auto"/>
            </w:pPr>
            <w:r w:rsidRPr="00A40394">
              <w:t>Community Dimensions of Practice</w:t>
            </w:r>
          </w:p>
        </w:tc>
        <w:tc>
          <w:tcPr>
            <w:tcW w:w="0" w:type="auto"/>
          </w:tcPr>
          <w:p w:rsidR="00716E3B" w:rsidRPr="00A40394" w:rsidRDefault="00716E3B" w:rsidP="00A40394">
            <w:pPr>
              <w:spacing w:after="0" w:line="240" w:lineRule="auto"/>
            </w:pPr>
            <w:r w:rsidRPr="00A40394">
              <w:t>2.7</w:t>
            </w:r>
          </w:p>
        </w:tc>
        <w:tc>
          <w:tcPr>
            <w:tcW w:w="0" w:type="auto"/>
          </w:tcPr>
          <w:p w:rsidR="00716E3B" w:rsidRPr="00A40394" w:rsidRDefault="00716E3B" w:rsidP="00A40394">
            <w:pPr>
              <w:spacing w:after="0" w:line="240" w:lineRule="auto"/>
            </w:pPr>
            <w:r w:rsidRPr="00A40394">
              <w:t>1.6</w:t>
            </w:r>
          </w:p>
        </w:tc>
        <w:tc>
          <w:tcPr>
            <w:tcW w:w="0" w:type="auto"/>
          </w:tcPr>
          <w:p w:rsidR="00716E3B" w:rsidRPr="00A40394" w:rsidRDefault="00716E3B" w:rsidP="00A40394">
            <w:pPr>
              <w:spacing w:after="0" w:line="240" w:lineRule="auto"/>
            </w:pPr>
            <w:r w:rsidRPr="00A40394">
              <w:t>3.7</w:t>
            </w:r>
          </w:p>
        </w:tc>
      </w:tr>
      <w:tr w:rsidR="00716E3B" w:rsidRPr="00A40394" w:rsidTr="00A40394">
        <w:tc>
          <w:tcPr>
            <w:tcW w:w="0" w:type="auto"/>
            <w:shd w:val="clear" w:color="auto" w:fill="F2F2F2"/>
          </w:tcPr>
          <w:p w:rsidR="00716E3B" w:rsidRPr="00A40394" w:rsidRDefault="00716E3B" w:rsidP="00A40394">
            <w:pPr>
              <w:spacing w:after="0" w:line="240" w:lineRule="auto"/>
            </w:pPr>
            <w:r w:rsidRPr="00A40394">
              <w:t>Public Health Science</w:t>
            </w:r>
          </w:p>
        </w:tc>
        <w:tc>
          <w:tcPr>
            <w:tcW w:w="0" w:type="auto"/>
            <w:shd w:val="clear" w:color="auto" w:fill="F2F2F2"/>
          </w:tcPr>
          <w:p w:rsidR="00716E3B" w:rsidRPr="00A40394" w:rsidRDefault="00716E3B" w:rsidP="00A40394">
            <w:pPr>
              <w:spacing w:after="0" w:line="240" w:lineRule="auto"/>
            </w:pPr>
            <w:r w:rsidRPr="00A40394">
              <w:t>2.7</w:t>
            </w:r>
          </w:p>
        </w:tc>
        <w:tc>
          <w:tcPr>
            <w:tcW w:w="0" w:type="auto"/>
            <w:shd w:val="clear" w:color="auto" w:fill="F2F2F2"/>
          </w:tcPr>
          <w:p w:rsidR="00716E3B" w:rsidRPr="00A40394" w:rsidRDefault="00716E3B" w:rsidP="00A40394">
            <w:pPr>
              <w:spacing w:after="0" w:line="240" w:lineRule="auto"/>
            </w:pPr>
            <w:r w:rsidRPr="00A40394">
              <w:t>1.4</w:t>
            </w:r>
          </w:p>
        </w:tc>
        <w:tc>
          <w:tcPr>
            <w:tcW w:w="0" w:type="auto"/>
            <w:shd w:val="clear" w:color="auto" w:fill="F2F2F2"/>
          </w:tcPr>
          <w:p w:rsidR="00716E3B" w:rsidRPr="00A40394" w:rsidRDefault="00716E3B" w:rsidP="00A40394">
            <w:pPr>
              <w:spacing w:after="0" w:line="240" w:lineRule="auto"/>
            </w:pPr>
            <w:r w:rsidRPr="00A40394">
              <w:t>3.3</w:t>
            </w:r>
          </w:p>
        </w:tc>
      </w:tr>
      <w:tr w:rsidR="00716E3B" w:rsidRPr="00A40394" w:rsidTr="00A40394">
        <w:tc>
          <w:tcPr>
            <w:tcW w:w="0" w:type="auto"/>
          </w:tcPr>
          <w:p w:rsidR="00716E3B" w:rsidRPr="00A40394" w:rsidRDefault="00716E3B" w:rsidP="00A40394">
            <w:pPr>
              <w:spacing w:after="0" w:line="240" w:lineRule="auto"/>
            </w:pPr>
            <w:r w:rsidRPr="00A40394">
              <w:rPr>
                <w:color w:val="FF0000"/>
              </w:rPr>
              <w:t>Financial Planning and Management</w:t>
            </w:r>
          </w:p>
        </w:tc>
        <w:tc>
          <w:tcPr>
            <w:tcW w:w="0" w:type="auto"/>
          </w:tcPr>
          <w:p w:rsidR="00716E3B" w:rsidRPr="00A40394" w:rsidRDefault="00716E3B" w:rsidP="00A40394">
            <w:pPr>
              <w:spacing w:after="0" w:line="240" w:lineRule="auto"/>
            </w:pPr>
            <w:r w:rsidRPr="00A40394">
              <w:rPr>
                <w:color w:val="FF0000"/>
              </w:rPr>
              <w:t>2.3</w:t>
            </w:r>
          </w:p>
        </w:tc>
        <w:tc>
          <w:tcPr>
            <w:tcW w:w="0" w:type="auto"/>
          </w:tcPr>
          <w:p w:rsidR="00716E3B" w:rsidRPr="00A40394" w:rsidRDefault="00716E3B" w:rsidP="00A40394">
            <w:pPr>
              <w:spacing w:after="0" w:line="240" w:lineRule="auto"/>
            </w:pPr>
            <w:r w:rsidRPr="00A40394">
              <w:t>1.4</w:t>
            </w:r>
          </w:p>
        </w:tc>
        <w:tc>
          <w:tcPr>
            <w:tcW w:w="0" w:type="auto"/>
          </w:tcPr>
          <w:p w:rsidR="00716E3B" w:rsidRPr="00A40394" w:rsidRDefault="00716E3B" w:rsidP="00A40394">
            <w:pPr>
              <w:spacing w:after="0" w:line="240" w:lineRule="auto"/>
            </w:pPr>
            <w:r w:rsidRPr="00A40394">
              <w:t>3.2</w:t>
            </w:r>
          </w:p>
        </w:tc>
      </w:tr>
      <w:tr w:rsidR="00716E3B" w:rsidRPr="00A40394" w:rsidTr="00A40394">
        <w:tc>
          <w:tcPr>
            <w:tcW w:w="0" w:type="auto"/>
            <w:shd w:val="clear" w:color="auto" w:fill="F2F2F2"/>
          </w:tcPr>
          <w:p w:rsidR="00716E3B" w:rsidRPr="00A40394" w:rsidRDefault="00716E3B" w:rsidP="00A40394">
            <w:pPr>
              <w:spacing w:after="0" w:line="240" w:lineRule="auto"/>
            </w:pPr>
            <w:r w:rsidRPr="00A40394">
              <w:t>Leadership and Systems Thinking</w:t>
            </w:r>
          </w:p>
        </w:tc>
        <w:tc>
          <w:tcPr>
            <w:tcW w:w="0" w:type="auto"/>
            <w:shd w:val="clear" w:color="auto" w:fill="F2F2F2"/>
          </w:tcPr>
          <w:p w:rsidR="00716E3B" w:rsidRPr="00A40394" w:rsidRDefault="00716E3B" w:rsidP="00A40394">
            <w:pPr>
              <w:spacing w:after="0" w:line="240" w:lineRule="auto"/>
            </w:pPr>
            <w:r w:rsidRPr="00A40394">
              <w:t xml:space="preserve">2.7 </w:t>
            </w:r>
          </w:p>
        </w:tc>
        <w:tc>
          <w:tcPr>
            <w:tcW w:w="0" w:type="auto"/>
            <w:shd w:val="clear" w:color="auto" w:fill="F2F2F2"/>
          </w:tcPr>
          <w:p w:rsidR="00716E3B" w:rsidRPr="00A40394" w:rsidRDefault="00716E3B" w:rsidP="00A40394">
            <w:pPr>
              <w:spacing w:after="0" w:line="240" w:lineRule="auto"/>
            </w:pPr>
            <w:r w:rsidRPr="00A40394">
              <w:t>1.5</w:t>
            </w:r>
          </w:p>
        </w:tc>
        <w:tc>
          <w:tcPr>
            <w:tcW w:w="0" w:type="auto"/>
            <w:shd w:val="clear" w:color="auto" w:fill="F2F2F2"/>
          </w:tcPr>
          <w:p w:rsidR="00716E3B" w:rsidRPr="00A40394" w:rsidRDefault="00716E3B" w:rsidP="00A40394">
            <w:pPr>
              <w:spacing w:after="0" w:line="240" w:lineRule="auto"/>
            </w:pPr>
            <w:r w:rsidRPr="00A40394">
              <w:t>3.5</w:t>
            </w:r>
          </w:p>
        </w:tc>
      </w:tr>
    </w:tbl>
    <w:p w:rsidR="00716E3B" w:rsidRDefault="00716E3B" w:rsidP="00315735">
      <w:pPr>
        <w:spacing w:after="0" w:line="240" w:lineRule="auto"/>
        <w:rPr>
          <w:i/>
        </w:rPr>
      </w:pPr>
    </w:p>
    <w:p w:rsidR="00716E3B" w:rsidRPr="00315735" w:rsidRDefault="00716E3B" w:rsidP="00315735">
      <w:pPr>
        <w:spacing w:after="0" w:line="240" w:lineRule="auto"/>
        <w:rPr>
          <w:i/>
        </w:rPr>
      </w:pPr>
      <w:r w:rsidRPr="00315735">
        <w:rPr>
          <w:i/>
        </w:rPr>
        <w:t>Discussion</w:t>
      </w:r>
    </w:p>
    <w:p w:rsidR="00716E3B" w:rsidRDefault="00716E3B" w:rsidP="00B27A4B">
      <w:pPr>
        <w:spacing w:line="240" w:lineRule="auto"/>
      </w:pPr>
      <w:r>
        <w:t xml:space="preserve">It is critical to note that while this assessment did have a 100% response rate, there were only eight participants.  Staff did note they had some difficulty interpreting the competency indicators and that selecting their score, particularly a “3 - Knowledgeable” as compared to a “4 - Proficient” was challenging. Staff also expressed concern that administrative support staff was not included in the survey, as their role is critical to the Health District’s operations. </w:t>
      </w:r>
    </w:p>
    <w:p w:rsidR="00716E3B" w:rsidRDefault="00716E3B" w:rsidP="007A4048">
      <w:pPr>
        <w:spacing w:after="0" w:line="240" w:lineRule="auto"/>
        <w:rPr>
          <w:b/>
        </w:rPr>
      </w:pPr>
    </w:p>
    <w:p w:rsidR="00716E3B" w:rsidRPr="004F31E6" w:rsidRDefault="00716E3B" w:rsidP="007A4048">
      <w:pPr>
        <w:spacing w:after="0" w:line="240" w:lineRule="auto"/>
        <w:rPr>
          <w:b/>
        </w:rPr>
      </w:pPr>
      <w:r w:rsidRPr="004F31E6">
        <w:rPr>
          <w:b/>
        </w:rPr>
        <w:t xml:space="preserve">II. Staff </w:t>
      </w:r>
      <w:r>
        <w:rPr>
          <w:b/>
        </w:rPr>
        <w:t xml:space="preserve">Structured Discussion </w:t>
      </w:r>
    </w:p>
    <w:p w:rsidR="00716E3B" w:rsidRDefault="00716E3B" w:rsidP="007A4048">
      <w:pPr>
        <w:spacing w:after="0" w:line="240" w:lineRule="auto"/>
        <w:rPr>
          <w:b/>
        </w:rPr>
      </w:pPr>
      <w:r>
        <w:rPr>
          <w:b/>
        </w:rPr>
        <w:t>Assessment of Training Barriers and Motivators</w:t>
      </w:r>
    </w:p>
    <w:p w:rsidR="00716E3B" w:rsidRDefault="00716E3B" w:rsidP="007A4048">
      <w:pPr>
        <w:spacing w:after="0" w:line="240" w:lineRule="auto"/>
        <w:rPr>
          <w:b/>
        </w:rPr>
      </w:pPr>
      <w:r>
        <w:rPr>
          <w:b/>
        </w:rPr>
        <w:t>Conducted February 27, 2014</w:t>
      </w:r>
    </w:p>
    <w:p w:rsidR="00716E3B" w:rsidRDefault="00716E3B" w:rsidP="00AB23B8">
      <w:pPr>
        <w:spacing w:after="0" w:line="240" w:lineRule="auto"/>
        <w:rPr>
          <w:b/>
        </w:rPr>
      </w:pPr>
    </w:p>
    <w:p w:rsidR="00716E3B" w:rsidRDefault="00716E3B" w:rsidP="00AB23B8">
      <w:pPr>
        <w:spacing w:after="0" w:line="240" w:lineRule="auto"/>
      </w:pPr>
      <w:r>
        <w:t>PHAB standards require a health department to address barriers to training in their workforce development plans. In order to identify these barriers and build strategies, o</w:t>
      </w:r>
      <w:r w:rsidRPr="004F31E6">
        <w:t xml:space="preserve">n </w:t>
      </w:r>
      <w:r>
        <w:t>Thursday, February 27, 2014, the CT-RI PHTC led a focus group of all Health District staff on a guided discussion of the following areas:</w:t>
      </w:r>
    </w:p>
    <w:p w:rsidR="00716E3B" w:rsidRDefault="00716E3B" w:rsidP="0076362A">
      <w:pPr>
        <w:pStyle w:val="ListParagraph"/>
        <w:numPr>
          <w:ilvl w:val="0"/>
          <w:numId w:val="7"/>
        </w:numPr>
        <w:spacing w:after="0" w:line="240" w:lineRule="auto"/>
      </w:pPr>
      <w:r>
        <w:t>What are the barriers to you taking training</w:t>
      </w:r>
    </w:p>
    <w:p w:rsidR="00716E3B" w:rsidRDefault="00716E3B" w:rsidP="0076362A">
      <w:pPr>
        <w:pStyle w:val="ListParagraph"/>
        <w:numPr>
          <w:ilvl w:val="0"/>
          <w:numId w:val="7"/>
        </w:numPr>
        <w:spacing w:after="0" w:line="240" w:lineRule="auto"/>
      </w:pPr>
      <w:r>
        <w:t>What are the motivators or incentives for training</w:t>
      </w:r>
    </w:p>
    <w:p w:rsidR="00716E3B" w:rsidRPr="00040DDF" w:rsidRDefault="00716E3B" w:rsidP="00040DDF">
      <w:pPr>
        <w:pStyle w:val="ListParagraph"/>
        <w:numPr>
          <w:ilvl w:val="0"/>
          <w:numId w:val="7"/>
        </w:numPr>
        <w:spacing w:after="0" w:line="240" w:lineRule="auto"/>
        <w:rPr>
          <w:b/>
          <w:u w:val="single"/>
        </w:rPr>
      </w:pPr>
      <w:r>
        <w:t>What training formats do you prefer? Why?</w:t>
      </w:r>
      <w:r w:rsidRPr="00040DDF">
        <w:rPr>
          <w:b/>
          <w:u w:val="single"/>
        </w:rPr>
        <w:br w:type="page"/>
      </w:r>
    </w:p>
    <w:p w:rsidR="00716E3B" w:rsidRPr="00806CC8" w:rsidRDefault="00716E3B" w:rsidP="005E6E13">
      <w:pPr>
        <w:spacing w:after="0" w:line="240" w:lineRule="auto"/>
        <w:rPr>
          <w:b/>
          <w:u w:val="single"/>
        </w:rPr>
      </w:pPr>
      <w:r w:rsidRPr="00806CC8">
        <w:rPr>
          <w:b/>
          <w:u w:val="single"/>
        </w:rPr>
        <w:t>Training Barriers</w:t>
      </w:r>
    </w:p>
    <w:p w:rsidR="00716E3B" w:rsidRPr="00544C2D" w:rsidRDefault="00716E3B" w:rsidP="00544C2D">
      <w:pPr>
        <w:pStyle w:val="ListParagraph"/>
        <w:numPr>
          <w:ilvl w:val="0"/>
          <w:numId w:val="2"/>
        </w:numPr>
        <w:spacing w:line="240" w:lineRule="auto"/>
        <w:rPr>
          <w:b/>
          <w:u w:val="single"/>
        </w:rPr>
      </w:pPr>
      <w:r>
        <w:t>Money – funding – not all trainings are free</w:t>
      </w:r>
    </w:p>
    <w:p w:rsidR="00716E3B" w:rsidRPr="00544C2D" w:rsidRDefault="00716E3B" w:rsidP="00544C2D">
      <w:pPr>
        <w:pStyle w:val="ListParagraph"/>
        <w:numPr>
          <w:ilvl w:val="0"/>
          <w:numId w:val="2"/>
        </w:numPr>
        <w:spacing w:line="240" w:lineRule="auto"/>
        <w:rPr>
          <w:b/>
          <w:u w:val="single"/>
        </w:rPr>
      </w:pPr>
      <w:r>
        <w:t>Tuition reimbursement is minimal for advanced degree or certifications</w:t>
      </w:r>
    </w:p>
    <w:p w:rsidR="00716E3B" w:rsidRPr="00544C2D" w:rsidRDefault="00716E3B" w:rsidP="00544C2D">
      <w:pPr>
        <w:pStyle w:val="ListParagraph"/>
        <w:numPr>
          <w:ilvl w:val="0"/>
          <w:numId w:val="2"/>
        </w:numPr>
        <w:spacing w:line="240" w:lineRule="auto"/>
        <w:rPr>
          <w:b/>
          <w:u w:val="single"/>
        </w:rPr>
      </w:pPr>
      <w:r>
        <w:t xml:space="preserve">Time – staff at trainings = work not being completed </w:t>
      </w:r>
    </w:p>
    <w:p w:rsidR="00716E3B" w:rsidRPr="006926BF" w:rsidRDefault="00716E3B" w:rsidP="00544C2D">
      <w:pPr>
        <w:pStyle w:val="ListParagraph"/>
        <w:numPr>
          <w:ilvl w:val="0"/>
          <w:numId w:val="2"/>
        </w:numPr>
        <w:spacing w:line="240" w:lineRule="auto"/>
        <w:rPr>
          <w:b/>
          <w:u w:val="single"/>
        </w:rPr>
      </w:pPr>
      <w:r w:rsidRPr="006926BF">
        <w:t>Coordination of training</w:t>
      </w:r>
      <w:r>
        <w:t>; many staff need to take same programs, leaving office understaffed</w:t>
      </w:r>
    </w:p>
    <w:p w:rsidR="00716E3B" w:rsidRPr="00544C2D" w:rsidRDefault="00716E3B" w:rsidP="00544C2D">
      <w:pPr>
        <w:pStyle w:val="ListParagraph"/>
        <w:numPr>
          <w:ilvl w:val="0"/>
          <w:numId w:val="2"/>
        </w:numPr>
        <w:spacing w:line="240" w:lineRule="auto"/>
        <w:rPr>
          <w:b/>
          <w:u w:val="single"/>
        </w:rPr>
      </w:pPr>
      <w:r>
        <w:t>Location: distance, out of state, overnight</w:t>
      </w:r>
    </w:p>
    <w:p w:rsidR="00716E3B" w:rsidRPr="00544C2D" w:rsidRDefault="00716E3B" w:rsidP="00544C2D">
      <w:pPr>
        <w:pStyle w:val="ListParagraph"/>
        <w:numPr>
          <w:ilvl w:val="0"/>
          <w:numId w:val="2"/>
        </w:numPr>
        <w:spacing w:line="240" w:lineRule="auto"/>
        <w:rPr>
          <w:b/>
          <w:u w:val="single"/>
        </w:rPr>
      </w:pPr>
      <w:r>
        <w:t xml:space="preserve">No incentives for staff to obtain formal advanced degrees </w:t>
      </w:r>
    </w:p>
    <w:p w:rsidR="00716E3B" w:rsidRPr="00544C2D" w:rsidRDefault="00716E3B" w:rsidP="00544C2D">
      <w:pPr>
        <w:pStyle w:val="ListParagraph"/>
        <w:numPr>
          <w:ilvl w:val="0"/>
          <w:numId w:val="2"/>
        </w:numPr>
        <w:spacing w:line="240" w:lineRule="auto"/>
        <w:rPr>
          <w:b/>
          <w:u w:val="single"/>
        </w:rPr>
      </w:pPr>
      <w:r>
        <w:t>No career development plans</w:t>
      </w:r>
    </w:p>
    <w:p w:rsidR="00716E3B" w:rsidRPr="00544C2D" w:rsidRDefault="00716E3B" w:rsidP="00544C2D">
      <w:pPr>
        <w:pStyle w:val="ListParagraph"/>
        <w:numPr>
          <w:ilvl w:val="0"/>
          <w:numId w:val="2"/>
        </w:numPr>
        <w:spacing w:line="240" w:lineRule="auto"/>
        <w:rPr>
          <w:b/>
          <w:u w:val="single"/>
        </w:rPr>
      </w:pPr>
      <w:r>
        <w:t>Limited or no expertize in specific subject matter within agency</w:t>
      </w:r>
    </w:p>
    <w:p w:rsidR="00716E3B" w:rsidRPr="00544C2D" w:rsidRDefault="00716E3B" w:rsidP="00544C2D">
      <w:pPr>
        <w:pStyle w:val="ListParagraph"/>
        <w:numPr>
          <w:ilvl w:val="0"/>
          <w:numId w:val="2"/>
        </w:numPr>
        <w:spacing w:line="240" w:lineRule="auto"/>
        <w:rPr>
          <w:b/>
          <w:u w:val="single"/>
        </w:rPr>
      </w:pPr>
      <w:r>
        <w:t>Not being able to recognize resources within organization – need documentation in training plan</w:t>
      </w:r>
    </w:p>
    <w:p w:rsidR="00716E3B" w:rsidRPr="00544C2D" w:rsidRDefault="00716E3B" w:rsidP="00544C2D">
      <w:pPr>
        <w:pStyle w:val="ListParagraph"/>
        <w:numPr>
          <w:ilvl w:val="0"/>
          <w:numId w:val="2"/>
        </w:numPr>
        <w:spacing w:line="240" w:lineRule="auto"/>
        <w:rPr>
          <w:b/>
          <w:u w:val="single"/>
        </w:rPr>
      </w:pPr>
      <w:r>
        <w:t>Not always to able to apply training to daily work</w:t>
      </w:r>
    </w:p>
    <w:p w:rsidR="00716E3B" w:rsidRPr="006926BF" w:rsidRDefault="00716E3B" w:rsidP="00544C2D">
      <w:pPr>
        <w:pStyle w:val="ListParagraph"/>
        <w:numPr>
          <w:ilvl w:val="0"/>
          <w:numId w:val="2"/>
        </w:numPr>
        <w:spacing w:line="240" w:lineRule="auto"/>
        <w:rPr>
          <w:b/>
          <w:u w:val="single"/>
        </w:rPr>
      </w:pPr>
      <w:r>
        <w:t>No state program to advance from current position to management</w:t>
      </w:r>
    </w:p>
    <w:p w:rsidR="00716E3B" w:rsidRPr="00544C2D" w:rsidRDefault="00716E3B" w:rsidP="00544C2D">
      <w:pPr>
        <w:pStyle w:val="ListParagraph"/>
        <w:numPr>
          <w:ilvl w:val="0"/>
          <w:numId w:val="2"/>
        </w:numPr>
        <w:spacing w:line="240" w:lineRule="auto"/>
        <w:rPr>
          <w:b/>
          <w:u w:val="single"/>
        </w:rPr>
      </w:pPr>
      <w:r>
        <w:t>No resources to support development/training for emergency response teams</w:t>
      </w:r>
    </w:p>
    <w:p w:rsidR="00716E3B" w:rsidRPr="00D45B2F" w:rsidRDefault="00716E3B" w:rsidP="00544C2D">
      <w:pPr>
        <w:pStyle w:val="ListParagraph"/>
        <w:numPr>
          <w:ilvl w:val="0"/>
          <w:numId w:val="2"/>
        </w:numPr>
        <w:spacing w:line="240" w:lineRule="auto"/>
        <w:rPr>
          <w:b/>
          <w:u w:val="single"/>
        </w:rPr>
      </w:pPr>
      <w:r>
        <w:t>CT Environmental Health Association/CT Department of Public Health (CT DPH) offer best trainings for sanitarians.</w:t>
      </w:r>
    </w:p>
    <w:p w:rsidR="00716E3B" w:rsidRPr="00D45B2F" w:rsidRDefault="00716E3B" w:rsidP="00544C2D">
      <w:pPr>
        <w:pStyle w:val="ListParagraph"/>
        <w:numPr>
          <w:ilvl w:val="0"/>
          <w:numId w:val="2"/>
        </w:numPr>
        <w:spacing w:line="240" w:lineRule="auto"/>
        <w:rPr>
          <w:b/>
          <w:u w:val="single"/>
        </w:rPr>
      </w:pPr>
      <w:r>
        <w:t xml:space="preserve">Staff needs prep to taking Registered Sanitarian (RS) exam. </w:t>
      </w:r>
    </w:p>
    <w:p w:rsidR="00716E3B" w:rsidRPr="00D45B2F" w:rsidRDefault="00716E3B" w:rsidP="00544C2D">
      <w:pPr>
        <w:pStyle w:val="ListParagraph"/>
        <w:numPr>
          <w:ilvl w:val="0"/>
          <w:numId w:val="2"/>
        </w:numPr>
        <w:spacing w:line="240" w:lineRule="auto"/>
        <w:rPr>
          <w:b/>
          <w:u w:val="single"/>
        </w:rPr>
      </w:pPr>
      <w:r>
        <w:t>Lacy computer speed to take part in webinars</w:t>
      </w:r>
    </w:p>
    <w:p w:rsidR="00716E3B" w:rsidRPr="00544C2D" w:rsidRDefault="00716E3B" w:rsidP="00544C2D">
      <w:pPr>
        <w:pStyle w:val="ListParagraph"/>
        <w:numPr>
          <w:ilvl w:val="0"/>
          <w:numId w:val="2"/>
        </w:numPr>
        <w:spacing w:line="240" w:lineRule="auto"/>
        <w:rPr>
          <w:b/>
          <w:u w:val="single"/>
        </w:rPr>
      </w:pPr>
      <w:r>
        <w:t xml:space="preserve">Webinars sometimes don’t have effective instructors. </w:t>
      </w:r>
    </w:p>
    <w:p w:rsidR="00716E3B" w:rsidRDefault="00716E3B" w:rsidP="005E6E13">
      <w:pPr>
        <w:spacing w:after="0" w:line="240" w:lineRule="auto"/>
        <w:rPr>
          <w:b/>
          <w:u w:val="single"/>
        </w:rPr>
      </w:pPr>
      <w:r>
        <w:rPr>
          <w:b/>
          <w:u w:val="single"/>
        </w:rPr>
        <w:t>Training Motivators:</w:t>
      </w:r>
    </w:p>
    <w:p w:rsidR="00716E3B" w:rsidRDefault="00716E3B" w:rsidP="00544C2D">
      <w:pPr>
        <w:pStyle w:val="ListParagraph"/>
        <w:numPr>
          <w:ilvl w:val="0"/>
          <w:numId w:val="1"/>
        </w:numPr>
        <w:spacing w:line="240" w:lineRule="auto"/>
      </w:pPr>
      <w:r>
        <w:t>Need MPH to advance to higher level position (sanitarian to chief sanitarian)</w:t>
      </w:r>
    </w:p>
    <w:p w:rsidR="00716E3B" w:rsidRDefault="00716E3B" w:rsidP="00544C2D">
      <w:pPr>
        <w:pStyle w:val="ListParagraph"/>
        <w:numPr>
          <w:ilvl w:val="0"/>
          <w:numId w:val="1"/>
        </w:numPr>
        <w:spacing w:line="240" w:lineRule="auto"/>
      </w:pPr>
      <w:r>
        <w:t>Work with public health colleagues for internship programs and career advancement</w:t>
      </w:r>
    </w:p>
    <w:p w:rsidR="00716E3B" w:rsidRDefault="00716E3B" w:rsidP="00544C2D">
      <w:pPr>
        <w:pStyle w:val="ListParagraph"/>
        <w:numPr>
          <w:ilvl w:val="0"/>
          <w:numId w:val="1"/>
        </w:numPr>
        <w:spacing w:line="240" w:lineRule="auto"/>
      </w:pPr>
      <w:r>
        <w:t>Step system to advance sanitarians</w:t>
      </w:r>
    </w:p>
    <w:p w:rsidR="00716E3B" w:rsidRDefault="00716E3B" w:rsidP="00544C2D">
      <w:pPr>
        <w:pStyle w:val="ListParagraph"/>
        <w:numPr>
          <w:ilvl w:val="0"/>
          <w:numId w:val="1"/>
        </w:numPr>
        <w:spacing w:line="240" w:lineRule="auto"/>
      </w:pPr>
      <w:r>
        <w:t>Incentives to motivate and retain employees, i.e. staff recognition</w:t>
      </w:r>
    </w:p>
    <w:p w:rsidR="00716E3B" w:rsidRDefault="00716E3B" w:rsidP="00544C2D">
      <w:pPr>
        <w:pStyle w:val="ListParagraph"/>
        <w:numPr>
          <w:ilvl w:val="0"/>
          <w:numId w:val="1"/>
        </w:numPr>
        <w:spacing w:line="240" w:lineRule="auto"/>
      </w:pPr>
      <w:r>
        <w:t xml:space="preserve">If CT DPH would require or offer additional training programs specific to local health job titles. Other states offer and require these, as well as more support. </w:t>
      </w:r>
    </w:p>
    <w:p w:rsidR="00716E3B" w:rsidRDefault="00716E3B" w:rsidP="00544C2D">
      <w:pPr>
        <w:pStyle w:val="ListParagraph"/>
        <w:numPr>
          <w:ilvl w:val="0"/>
          <w:numId w:val="1"/>
        </w:numPr>
        <w:spacing w:line="240" w:lineRule="auto"/>
      </w:pPr>
      <w:r>
        <w:t>Recognize staff for participation in professional organizations.</w:t>
      </w:r>
    </w:p>
    <w:p w:rsidR="00716E3B" w:rsidRDefault="00716E3B" w:rsidP="00544C2D">
      <w:pPr>
        <w:pStyle w:val="ListParagraph"/>
        <w:numPr>
          <w:ilvl w:val="0"/>
          <w:numId w:val="1"/>
        </w:numPr>
        <w:spacing w:line="240" w:lineRule="auto"/>
      </w:pPr>
      <w:r>
        <w:t>Health District has resources to train sanitarians (cross train) to sit for RS exam</w:t>
      </w:r>
    </w:p>
    <w:p w:rsidR="00716E3B" w:rsidRDefault="00716E3B" w:rsidP="00544C2D">
      <w:pPr>
        <w:pStyle w:val="ListParagraph"/>
        <w:numPr>
          <w:ilvl w:val="0"/>
          <w:numId w:val="1"/>
        </w:numPr>
        <w:spacing w:line="240" w:lineRule="auto"/>
      </w:pPr>
      <w:r>
        <w:t>Health District does provide some financial support for some training programs</w:t>
      </w:r>
    </w:p>
    <w:p w:rsidR="00716E3B" w:rsidRDefault="00716E3B" w:rsidP="00544C2D">
      <w:pPr>
        <w:pStyle w:val="ListParagraph"/>
        <w:numPr>
          <w:ilvl w:val="0"/>
          <w:numId w:val="1"/>
        </w:numPr>
        <w:spacing w:line="240" w:lineRule="auto"/>
      </w:pPr>
      <w:r>
        <w:t>Support for participation in webinars</w:t>
      </w:r>
    </w:p>
    <w:p w:rsidR="00716E3B" w:rsidRDefault="00716E3B" w:rsidP="005E6E13">
      <w:pPr>
        <w:pStyle w:val="ListParagraph"/>
        <w:numPr>
          <w:ilvl w:val="0"/>
          <w:numId w:val="1"/>
        </w:numPr>
        <w:spacing w:line="240" w:lineRule="auto"/>
      </w:pPr>
      <w:r>
        <w:t xml:space="preserve">Training offered is relevant to daily work. </w:t>
      </w:r>
    </w:p>
    <w:p w:rsidR="00716E3B" w:rsidRDefault="00716E3B" w:rsidP="00D45B2F">
      <w:pPr>
        <w:spacing w:line="240" w:lineRule="auto"/>
        <w:rPr>
          <w:b/>
          <w:u w:val="single"/>
        </w:rPr>
      </w:pPr>
      <w:r>
        <w:rPr>
          <w:b/>
          <w:u w:val="single"/>
        </w:rPr>
        <w:t>Preferred Training Methods:</w:t>
      </w:r>
    </w:p>
    <w:p w:rsidR="00716E3B" w:rsidRDefault="00716E3B" w:rsidP="00D45B2F">
      <w:pPr>
        <w:pStyle w:val="ListParagraph"/>
        <w:numPr>
          <w:ilvl w:val="0"/>
          <w:numId w:val="4"/>
        </w:numPr>
        <w:spacing w:line="240" w:lineRule="auto"/>
      </w:pPr>
      <w:r>
        <w:t>Dependent on topic and facilitator effectiveness</w:t>
      </w:r>
    </w:p>
    <w:p w:rsidR="00716E3B" w:rsidRDefault="00716E3B" w:rsidP="00D45B2F">
      <w:pPr>
        <w:pStyle w:val="ListParagraph"/>
        <w:numPr>
          <w:ilvl w:val="1"/>
          <w:numId w:val="4"/>
        </w:numPr>
        <w:spacing w:line="240" w:lineRule="auto"/>
      </w:pPr>
      <w:r>
        <w:t>Sometimes webinars are ideal</w:t>
      </w:r>
    </w:p>
    <w:p w:rsidR="00716E3B" w:rsidRDefault="00716E3B" w:rsidP="00D45B2F">
      <w:pPr>
        <w:spacing w:line="240" w:lineRule="auto"/>
        <w:rPr>
          <w:b/>
          <w:u w:val="single"/>
        </w:rPr>
      </w:pPr>
      <w:r w:rsidRPr="00270C16">
        <w:rPr>
          <w:b/>
          <w:u w:val="single"/>
        </w:rPr>
        <w:t xml:space="preserve">Training </w:t>
      </w:r>
      <w:r>
        <w:rPr>
          <w:b/>
          <w:u w:val="single"/>
        </w:rPr>
        <w:t>Topics of Priority to Staff</w:t>
      </w:r>
      <w:r w:rsidRPr="00270C16">
        <w:rPr>
          <w:b/>
          <w:u w:val="single"/>
        </w:rPr>
        <w:t>:</w:t>
      </w:r>
    </w:p>
    <w:p w:rsidR="00716E3B" w:rsidRDefault="00716E3B" w:rsidP="00D45B2F">
      <w:pPr>
        <w:pStyle w:val="ListParagraph"/>
        <w:numPr>
          <w:ilvl w:val="0"/>
          <w:numId w:val="4"/>
        </w:numPr>
        <w:spacing w:line="240" w:lineRule="auto"/>
      </w:pPr>
      <w:r>
        <w:t>Worker safety (blood borne pathogens, protection skills out in field, unsafe homes, animals, hoarding)</w:t>
      </w:r>
    </w:p>
    <w:p w:rsidR="00716E3B" w:rsidRDefault="00716E3B" w:rsidP="00D45B2F">
      <w:pPr>
        <w:pStyle w:val="ListParagraph"/>
        <w:numPr>
          <w:ilvl w:val="0"/>
          <w:numId w:val="4"/>
        </w:numPr>
        <w:spacing w:line="240" w:lineRule="auto"/>
      </w:pPr>
      <w:r>
        <w:t>Hazmat</w:t>
      </w:r>
    </w:p>
    <w:p w:rsidR="00716E3B" w:rsidRDefault="00716E3B" w:rsidP="00D45B2F">
      <w:pPr>
        <w:pStyle w:val="ListParagraph"/>
        <w:numPr>
          <w:ilvl w:val="0"/>
          <w:numId w:val="4"/>
        </w:numPr>
        <w:spacing w:line="240" w:lineRule="auto"/>
      </w:pPr>
      <w:r>
        <w:t>Freedom of Information – HIPPA/Healthcare Privacy</w:t>
      </w:r>
    </w:p>
    <w:p w:rsidR="00716E3B" w:rsidRDefault="00716E3B" w:rsidP="00D45B2F">
      <w:pPr>
        <w:pStyle w:val="ListParagraph"/>
        <w:numPr>
          <w:ilvl w:val="0"/>
          <w:numId w:val="4"/>
        </w:numPr>
        <w:spacing w:line="240" w:lineRule="auto"/>
      </w:pPr>
      <w:r>
        <w:t xml:space="preserve">Grant writing </w:t>
      </w:r>
    </w:p>
    <w:p w:rsidR="00716E3B" w:rsidRDefault="00716E3B" w:rsidP="00D45B2F">
      <w:pPr>
        <w:pStyle w:val="ListParagraph"/>
        <w:numPr>
          <w:ilvl w:val="0"/>
          <w:numId w:val="4"/>
        </w:numPr>
        <w:spacing w:line="240" w:lineRule="auto"/>
      </w:pPr>
      <w:r>
        <w:t>Emergency preparedness: PH 101, ICS 100, 200, 700, 900</w:t>
      </w:r>
    </w:p>
    <w:p w:rsidR="00716E3B" w:rsidRDefault="00716E3B" w:rsidP="00D45B2F">
      <w:pPr>
        <w:pStyle w:val="ListParagraph"/>
        <w:numPr>
          <w:ilvl w:val="0"/>
          <w:numId w:val="4"/>
        </w:numPr>
        <w:spacing w:line="240" w:lineRule="auto"/>
      </w:pPr>
      <w:r>
        <w:t>Customer Service, de-escalation, dealing with difficult people</w:t>
      </w:r>
    </w:p>
    <w:p w:rsidR="00716E3B" w:rsidRDefault="00716E3B" w:rsidP="00D45B2F">
      <w:pPr>
        <w:pStyle w:val="ListParagraph"/>
        <w:numPr>
          <w:ilvl w:val="0"/>
          <w:numId w:val="4"/>
        </w:numPr>
        <w:spacing w:line="240" w:lineRule="auto"/>
      </w:pPr>
      <w:r>
        <w:t>Trainer facilitation – learning how to be a trainer</w:t>
      </w:r>
    </w:p>
    <w:p w:rsidR="00716E3B" w:rsidRDefault="00716E3B" w:rsidP="00D45B2F">
      <w:pPr>
        <w:pStyle w:val="ListParagraph"/>
        <w:numPr>
          <w:ilvl w:val="0"/>
          <w:numId w:val="4"/>
        </w:numPr>
        <w:spacing w:line="240" w:lineRule="auto"/>
      </w:pPr>
      <w:r>
        <w:t>Available but access is difficult (either cost prohibitive or limited offerings):</w:t>
      </w:r>
    </w:p>
    <w:p w:rsidR="00716E3B" w:rsidRDefault="00716E3B" w:rsidP="00D45B2F">
      <w:pPr>
        <w:pStyle w:val="ListParagraph"/>
        <w:numPr>
          <w:ilvl w:val="1"/>
          <w:numId w:val="4"/>
        </w:numPr>
        <w:spacing w:line="240" w:lineRule="auto"/>
      </w:pPr>
      <w:r>
        <w:t>Minute/note taking</w:t>
      </w:r>
    </w:p>
    <w:p w:rsidR="00716E3B" w:rsidRDefault="00716E3B" w:rsidP="00D45B2F">
      <w:pPr>
        <w:pStyle w:val="ListParagraph"/>
        <w:numPr>
          <w:ilvl w:val="1"/>
          <w:numId w:val="4"/>
        </w:numPr>
        <w:spacing w:line="240" w:lineRule="auto"/>
      </w:pPr>
      <w:r>
        <w:t>Computer skills</w:t>
      </w:r>
    </w:p>
    <w:p w:rsidR="00716E3B" w:rsidRDefault="00716E3B" w:rsidP="00D45B2F">
      <w:pPr>
        <w:pStyle w:val="ListParagraph"/>
        <w:numPr>
          <w:ilvl w:val="1"/>
          <w:numId w:val="4"/>
        </w:numPr>
        <w:spacing w:line="240" w:lineRule="auto"/>
      </w:pPr>
      <w:r>
        <w:t>Insurance billing</w:t>
      </w:r>
    </w:p>
    <w:p w:rsidR="00716E3B" w:rsidRDefault="00716E3B" w:rsidP="00D45B2F">
      <w:pPr>
        <w:pStyle w:val="ListParagraph"/>
        <w:numPr>
          <w:ilvl w:val="0"/>
          <w:numId w:val="4"/>
        </w:numPr>
        <w:spacing w:line="240" w:lineRule="auto"/>
      </w:pPr>
      <w:r>
        <w:t>Social media and designing effective webpages</w:t>
      </w:r>
    </w:p>
    <w:p w:rsidR="00716E3B" w:rsidRDefault="00716E3B" w:rsidP="00D45B2F">
      <w:pPr>
        <w:pStyle w:val="ListParagraph"/>
        <w:numPr>
          <w:ilvl w:val="0"/>
          <w:numId w:val="4"/>
        </w:numPr>
        <w:spacing w:line="240" w:lineRule="auto"/>
      </w:pPr>
      <w:r>
        <w:t>Sanitarians cross training in health education</w:t>
      </w:r>
    </w:p>
    <w:p w:rsidR="00716E3B" w:rsidRDefault="00716E3B" w:rsidP="00D45B2F">
      <w:pPr>
        <w:pStyle w:val="ListParagraph"/>
        <w:numPr>
          <w:ilvl w:val="0"/>
          <w:numId w:val="4"/>
        </w:numPr>
        <w:spacing w:line="240" w:lineRule="auto"/>
      </w:pPr>
      <w:r>
        <w:t>How to educate community on what public health is</w:t>
      </w:r>
    </w:p>
    <w:p w:rsidR="00716E3B" w:rsidRDefault="00716E3B" w:rsidP="00A276A5">
      <w:pPr>
        <w:pStyle w:val="ListParagraph"/>
        <w:numPr>
          <w:ilvl w:val="0"/>
          <w:numId w:val="4"/>
        </w:numPr>
        <w:spacing w:line="240" w:lineRule="auto"/>
      </w:pPr>
      <w:r>
        <w:t>Working with local policy-makers/boards of health</w:t>
      </w: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p w:rsidR="00716E3B" w:rsidRDefault="00716E3B" w:rsidP="006724B1">
      <w:pPr>
        <w:spacing w:line="240" w:lineRule="auto"/>
      </w:pPr>
    </w:p>
    <w:sectPr w:rsidR="00716E3B" w:rsidSect="00C52951">
      <w:headerReference w:type="default" r:id="rId8"/>
      <w:footerReference w:type="default" r:id="rId9"/>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3B" w:rsidRDefault="00716E3B" w:rsidP="00AA7BEA">
      <w:pPr>
        <w:spacing w:after="0" w:line="240" w:lineRule="auto"/>
      </w:pPr>
      <w:r>
        <w:separator/>
      </w:r>
    </w:p>
  </w:endnote>
  <w:endnote w:type="continuationSeparator" w:id="0">
    <w:p w:rsidR="00716E3B" w:rsidRDefault="00716E3B" w:rsidP="00AA7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3B" w:rsidRDefault="00716E3B" w:rsidP="001813E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3B" w:rsidRDefault="00716E3B" w:rsidP="00AA7BEA">
      <w:pPr>
        <w:spacing w:after="0" w:line="240" w:lineRule="auto"/>
      </w:pPr>
      <w:r>
        <w:separator/>
      </w:r>
    </w:p>
  </w:footnote>
  <w:footnote w:type="continuationSeparator" w:id="0">
    <w:p w:rsidR="00716E3B" w:rsidRDefault="00716E3B" w:rsidP="00AA7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3B" w:rsidRDefault="00716E3B" w:rsidP="00C52951">
    <w:pPr>
      <w:pStyle w:val="Footer"/>
    </w:pPr>
    <w:r>
      <w:t>CT-RI Public Health Training Center</w:t>
    </w:r>
  </w:p>
  <w:p w:rsidR="00716E3B" w:rsidRDefault="00716E3B" w:rsidP="00AA6769">
    <w:pPr>
      <w:pStyle w:val="Header"/>
      <w:jc w:val="right"/>
    </w:pPr>
    <w:r w:rsidRPr="001E55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54.75pt;height:5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B57"/>
    <w:multiLevelType w:val="hybridMultilevel"/>
    <w:tmpl w:val="B68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06DD6"/>
    <w:multiLevelType w:val="hybridMultilevel"/>
    <w:tmpl w:val="EE34CB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E667F3"/>
    <w:multiLevelType w:val="hybridMultilevel"/>
    <w:tmpl w:val="A29C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E01ED"/>
    <w:multiLevelType w:val="hybridMultilevel"/>
    <w:tmpl w:val="FB1E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255D0"/>
    <w:multiLevelType w:val="hybridMultilevel"/>
    <w:tmpl w:val="BE9A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C58FA"/>
    <w:multiLevelType w:val="hybridMultilevel"/>
    <w:tmpl w:val="6E0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C420C"/>
    <w:multiLevelType w:val="hybridMultilevel"/>
    <w:tmpl w:val="2634FB8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C2D"/>
    <w:rsid w:val="00040DDF"/>
    <w:rsid w:val="00095DFA"/>
    <w:rsid w:val="001071FF"/>
    <w:rsid w:val="00107EEC"/>
    <w:rsid w:val="001345E1"/>
    <w:rsid w:val="0016784D"/>
    <w:rsid w:val="001813EA"/>
    <w:rsid w:val="00190F04"/>
    <w:rsid w:val="001A46F5"/>
    <w:rsid w:val="001E55B7"/>
    <w:rsid w:val="00234F25"/>
    <w:rsid w:val="00250FDC"/>
    <w:rsid w:val="002623F1"/>
    <w:rsid w:val="00270C16"/>
    <w:rsid w:val="00271BEC"/>
    <w:rsid w:val="00281861"/>
    <w:rsid w:val="002C4CFA"/>
    <w:rsid w:val="00315735"/>
    <w:rsid w:val="003316F5"/>
    <w:rsid w:val="0034103D"/>
    <w:rsid w:val="0034536C"/>
    <w:rsid w:val="00407953"/>
    <w:rsid w:val="00451674"/>
    <w:rsid w:val="004A7131"/>
    <w:rsid w:val="004A7CFA"/>
    <w:rsid w:val="004B0E45"/>
    <w:rsid w:val="004F31E6"/>
    <w:rsid w:val="005171DA"/>
    <w:rsid w:val="0052672E"/>
    <w:rsid w:val="00534288"/>
    <w:rsid w:val="00544C2D"/>
    <w:rsid w:val="00575484"/>
    <w:rsid w:val="005944EC"/>
    <w:rsid w:val="005E6E13"/>
    <w:rsid w:val="00616791"/>
    <w:rsid w:val="00670512"/>
    <w:rsid w:val="006724B1"/>
    <w:rsid w:val="00673310"/>
    <w:rsid w:val="006926BF"/>
    <w:rsid w:val="00716E3B"/>
    <w:rsid w:val="0076362A"/>
    <w:rsid w:val="007A4048"/>
    <w:rsid w:val="007D7C7F"/>
    <w:rsid w:val="007E6806"/>
    <w:rsid w:val="00806CC8"/>
    <w:rsid w:val="0084611D"/>
    <w:rsid w:val="00871F0A"/>
    <w:rsid w:val="008D3C41"/>
    <w:rsid w:val="00915F26"/>
    <w:rsid w:val="0091740D"/>
    <w:rsid w:val="009A72C3"/>
    <w:rsid w:val="009E4B90"/>
    <w:rsid w:val="00A276A5"/>
    <w:rsid w:val="00A40394"/>
    <w:rsid w:val="00A61867"/>
    <w:rsid w:val="00AA6769"/>
    <w:rsid w:val="00AA7BEA"/>
    <w:rsid w:val="00AB23B8"/>
    <w:rsid w:val="00B06F7A"/>
    <w:rsid w:val="00B10C36"/>
    <w:rsid w:val="00B23A2B"/>
    <w:rsid w:val="00B27A4B"/>
    <w:rsid w:val="00B970C7"/>
    <w:rsid w:val="00C35C53"/>
    <w:rsid w:val="00C523FC"/>
    <w:rsid w:val="00C52951"/>
    <w:rsid w:val="00C93267"/>
    <w:rsid w:val="00CA0AF8"/>
    <w:rsid w:val="00CA0BF6"/>
    <w:rsid w:val="00CB1F91"/>
    <w:rsid w:val="00CD05C6"/>
    <w:rsid w:val="00CE6E71"/>
    <w:rsid w:val="00D45B2F"/>
    <w:rsid w:val="00D6541B"/>
    <w:rsid w:val="00E17DB3"/>
    <w:rsid w:val="00E93C5E"/>
    <w:rsid w:val="00EA7FE4"/>
    <w:rsid w:val="00EE4311"/>
    <w:rsid w:val="00F42121"/>
    <w:rsid w:val="00F4365D"/>
    <w:rsid w:val="00FF0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C2D"/>
    <w:pPr>
      <w:ind w:left="720"/>
      <w:contextualSpacing/>
    </w:pPr>
  </w:style>
  <w:style w:type="table" w:styleId="TableGrid">
    <w:name w:val="Table Grid"/>
    <w:basedOn w:val="TableNormal"/>
    <w:uiPriority w:val="99"/>
    <w:rsid w:val="009A72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71FF"/>
    <w:rPr>
      <w:rFonts w:cs="Times New Roman"/>
      <w:color w:val="0000FF"/>
      <w:u w:val="single"/>
    </w:rPr>
  </w:style>
  <w:style w:type="paragraph" w:styleId="Header">
    <w:name w:val="header"/>
    <w:basedOn w:val="Normal"/>
    <w:link w:val="HeaderChar"/>
    <w:uiPriority w:val="99"/>
    <w:rsid w:val="00AA7B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7BEA"/>
    <w:rPr>
      <w:rFonts w:cs="Times New Roman"/>
    </w:rPr>
  </w:style>
  <w:style w:type="paragraph" w:styleId="Footer">
    <w:name w:val="footer"/>
    <w:basedOn w:val="Normal"/>
    <w:link w:val="FooterChar"/>
    <w:uiPriority w:val="99"/>
    <w:rsid w:val="00AA7B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7BEA"/>
    <w:rPr>
      <w:rFonts w:cs="Times New Roman"/>
    </w:rPr>
  </w:style>
  <w:style w:type="paragraph" w:styleId="BalloonText">
    <w:name w:val="Balloon Text"/>
    <w:basedOn w:val="Normal"/>
    <w:link w:val="BalloonTextChar"/>
    <w:uiPriority w:val="99"/>
    <w:semiHidden/>
    <w:rsid w:val="00AA7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273359">
      <w:marLeft w:val="0"/>
      <w:marRight w:val="0"/>
      <w:marTop w:val="0"/>
      <w:marBottom w:val="0"/>
      <w:divBdr>
        <w:top w:val="none" w:sz="0" w:space="0" w:color="auto"/>
        <w:left w:val="none" w:sz="0" w:space="0" w:color="auto"/>
        <w:bottom w:val="none" w:sz="0" w:space="0" w:color="auto"/>
        <w:right w:val="none" w:sz="0" w:space="0" w:color="auto"/>
      </w:divBdr>
    </w:div>
    <w:div w:id="1357273360">
      <w:marLeft w:val="0"/>
      <w:marRight w:val="0"/>
      <w:marTop w:val="0"/>
      <w:marBottom w:val="0"/>
      <w:divBdr>
        <w:top w:val="none" w:sz="0" w:space="0" w:color="auto"/>
        <w:left w:val="none" w:sz="0" w:space="0" w:color="auto"/>
        <w:bottom w:val="none" w:sz="0" w:space="0" w:color="auto"/>
        <w:right w:val="none" w:sz="0" w:space="0" w:color="auto"/>
      </w:divBdr>
    </w:div>
    <w:div w:id="135727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f.org/resourcestools/Pages/Competency_Assessments_For_Public_Health_Professional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1140</Words>
  <Characters>6500</Characters>
  <Application>Microsoft Office Outlook</Application>
  <DocSecurity>0</DocSecurity>
  <Lines>0</Lines>
  <Paragraphs>0</Paragraphs>
  <ScaleCrop>false</ScaleCrop>
  <Company>Yale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Connecticut Health District</dc:title>
  <dc:subject/>
  <dc:creator>Bodyk, Anjuli</dc:creator>
  <cp:keywords/>
  <dc:description/>
  <cp:lastModifiedBy>hnorcia</cp:lastModifiedBy>
  <cp:revision>2</cp:revision>
  <cp:lastPrinted>2014-05-28T18:17:00Z</cp:lastPrinted>
  <dcterms:created xsi:type="dcterms:W3CDTF">2014-05-29T19:51:00Z</dcterms:created>
  <dcterms:modified xsi:type="dcterms:W3CDTF">2014-05-29T19:51:00Z</dcterms:modified>
</cp:coreProperties>
</file>